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1F74B3A3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4E1B90">
        <w:rPr>
          <w:b/>
          <w:sz w:val="44"/>
          <w:szCs w:val="44"/>
        </w:rPr>
        <w:t>37</w:t>
      </w:r>
      <w:r w:rsidR="003C46BA">
        <w:rPr>
          <w:b/>
          <w:sz w:val="44"/>
          <w:szCs w:val="44"/>
        </w:rPr>
        <w:t>1</w:t>
      </w:r>
      <w:r w:rsidR="00AD11D6">
        <w:rPr>
          <w:b/>
          <w:sz w:val="44"/>
          <w:szCs w:val="44"/>
        </w:rPr>
        <w:t>P</w:t>
      </w:r>
    </w:p>
    <w:p w14:paraId="084D6E3C" w14:textId="5442132A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E60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3C46BA">
        <w:rPr>
          <w:b/>
          <w:noProof/>
          <w:sz w:val="44"/>
          <w:szCs w:val="44"/>
        </w:rPr>
        <w:t>Advanced Placement</w:t>
      </w:r>
      <w:r w:rsidR="00381156">
        <w:rPr>
          <w:b/>
          <w:sz w:val="44"/>
          <w:szCs w:val="44"/>
        </w:rPr>
        <w:t xml:space="preserve"> </w:t>
      </w:r>
      <w:r w:rsidR="00C61123">
        <w:rPr>
          <w:b/>
          <w:sz w:val="44"/>
          <w:szCs w:val="44"/>
        </w:rPr>
        <w:t xml:space="preserve">(AP) </w:t>
      </w:r>
      <w:r w:rsidR="00AD11D6">
        <w:rPr>
          <w:b/>
          <w:sz w:val="44"/>
          <w:szCs w:val="44"/>
        </w:rPr>
        <w:t>Procedure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4494E728" w14:textId="7554B83F" w:rsidR="003C46BA" w:rsidRDefault="003C46BA" w:rsidP="003C4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Establishes regulation and conditions for awarding college credit or determining course placement based on Advanced Placement </w:t>
      </w:r>
      <w:r w:rsidR="00C61123">
        <w:rPr>
          <w:rFonts w:ascii="Arial" w:hAnsi="Arial" w:cs="Arial"/>
        </w:rPr>
        <w:t xml:space="preserve">(AP) </w:t>
      </w:r>
      <w:bookmarkStart w:id="0" w:name="_GoBack"/>
      <w:bookmarkEnd w:id="0"/>
      <w:r>
        <w:rPr>
          <w:rFonts w:ascii="Arial" w:hAnsi="Arial" w:cs="Arial"/>
        </w:rPr>
        <w:t>scores.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41E5113D" w14:textId="77777777" w:rsidR="003C46BA" w:rsidRDefault="003C46BA" w:rsidP="003C46BA">
      <w:pPr>
        <w:rPr>
          <w:rFonts w:ascii="Arial" w:hAnsi="Arial" w:cs="Arial"/>
        </w:rPr>
      </w:pPr>
      <w:r>
        <w:rPr>
          <w:rFonts w:ascii="Arial" w:hAnsi="Arial" w:cs="Arial"/>
        </w:rPr>
        <w:t>Clackamas Community College recognizes the College Board Advanced Placement (AP) program.</w:t>
      </w:r>
    </w:p>
    <w:p w14:paraId="2AD90A2D" w14:textId="77777777" w:rsidR="004E1B90" w:rsidRDefault="004E1B90" w:rsidP="002269A4">
      <w:pPr>
        <w:spacing w:after="0" w:line="240" w:lineRule="auto"/>
        <w:rPr>
          <w:rFonts w:ascii="Arial" w:hAnsi="Arial" w:cs="Arial"/>
        </w:rPr>
      </w:pPr>
    </w:p>
    <w:p w14:paraId="36D21079" w14:textId="17E0EC61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278A0C52" w14:textId="38903F5F" w:rsidR="00AD11D6" w:rsidRDefault="00AD11D6" w:rsidP="00AD11D6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student must provide an official copy of the </w:t>
      </w:r>
      <w:r w:rsidR="003C46BA">
        <w:rPr>
          <w:rFonts w:ascii="Arial" w:hAnsi="Arial" w:cs="Arial"/>
        </w:rPr>
        <w:t>Advanced Placement</w:t>
      </w:r>
      <w:r>
        <w:rPr>
          <w:rFonts w:ascii="Arial" w:hAnsi="Arial" w:cs="Arial"/>
        </w:rPr>
        <w:t xml:space="preserve"> Exam scores</w:t>
      </w:r>
      <w:r w:rsidR="003C46BA">
        <w:rPr>
          <w:rFonts w:ascii="Arial" w:hAnsi="Arial" w:cs="Arial"/>
        </w:rPr>
        <w:t xml:space="preserve"> from College Board</w:t>
      </w:r>
      <w:r>
        <w:rPr>
          <w:rFonts w:ascii="Arial" w:hAnsi="Arial" w:cs="Arial"/>
        </w:rPr>
        <w:t xml:space="preserve"> to </w:t>
      </w:r>
      <w:r w:rsidR="00175A72">
        <w:rPr>
          <w:rFonts w:ascii="Arial" w:hAnsi="Arial" w:cs="Arial"/>
        </w:rPr>
        <w:t>Graduation Services</w:t>
      </w:r>
      <w:r>
        <w:rPr>
          <w:rFonts w:ascii="Arial" w:hAnsi="Arial" w:cs="Arial"/>
        </w:rPr>
        <w:t xml:space="preserve"> for evaluation and awarding of credit.</w:t>
      </w:r>
    </w:p>
    <w:p w14:paraId="15317DC5" w14:textId="02088983" w:rsidR="00AD11D6" w:rsidRDefault="00175A72" w:rsidP="00AD11D6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Graduation Services</w:t>
      </w:r>
      <w:r w:rsidR="00AD11D6">
        <w:rPr>
          <w:rFonts w:ascii="Arial" w:hAnsi="Arial" w:cs="Arial"/>
        </w:rPr>
        <w:t xml:space="preserve"> will be responsible for appropriately evaluating the </w:t>
      </w:r>
      <w:r w:rsidR="003C46BA">
        <w:rPr>
          <w:rFonts w:ascii="Arial" w:hAnsi="Arial" w:cs="Arial"/>
        </w:rPr>
        <w:t>Advanced Placement</w:t>
      </w:r>
      <w:r w:rsidR="00AD11D6">
        <w:rPr>
          <w:rFonts w:ascii="Arial" w:hAnsi="Arial" w:cs="Arial"/>
        </w:rPr>
        <w:t xml:space="preserve"> Exam scores, posting to the student’s transcript, and awarding credit based on ISP</w:t>
      </w:r>
      <w:r w:rsidR="00D62C74">
        <w:rPr>
          <w:rFonts w:ascii="Arial" w:hAnsi="Arial" w:cs="Arial"/>
        </w:rPr>
        <w:t xml:space="preserve"> </w:t>
      </w:r>
      <w:r w:rsidR="00AD11D6">
        <w:rPr>
          <w:rFonts w:ascii="Arial" w:hAnsi="Arial" w:cs="Arial"/>
        </w:rPr>
        <w:t>37</w:t>
      </w:r>
      <w:r w:rsidR="003C46BA">
        <w:rPr>
          <w:rFonts w:ascii="Arial" w:hAnsi="Arial" w:cs="Arial"/>
        </w:rPr>
        <w:t>1</w:t>
      </w:r>
      <w:r w:rsidR="00AD11D6">
        <w:rPr>
          <w:rFonts w:ascii="Arial" w:hAnsi="Arial" w:cs="Arial"/>
        </w:rPr>
        <w:t xml:space="preserve"> </w:t>
      </w:r>
      <w:r w:rsidR="003C46BA">
        <w:rPr>
          <w:rFonts w:ascii="Arial" w:hAnsi="Arial" w:cs="Arial"/>
        </w:rPr>
        <w:t xml:space="preserve">Advanced Placement </w:t>
      </w:r>
      <w:r w:rsidR="00AD11D6">
        <w:rPr>
          <w:rFonts w:ascii="Arial" w:hAnsi="Arial" w:cs="Arial"/>
        </w:rPr>
        <w:t>Standard</w:t>
      </w:r>
      <w:r>
        <w:rPr>
          <w:rFonts w:ascii="Arial" w:hAnsi="Arial" w:cs="Arial"/>
        </w:rPr>
        <w:t xml:space="preserve"> and ISP 37</w:t>
      </w:r>
      <w:r w:rsidR="003C46B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A </w:t>
      </w:r>
      <w:r w:rsidR="003C46BA">
        <w:rPr>
          <w:rFonts w:ascii="Arial" w:hAnsi="Arial" w:cs="Arial"/>
        </w:rPr>
        <w:t>Advanced Placement Appendix.</w:t>
      </w:r>
    </w:p>
    <w:p w14:paraId="67DE998B" w14:textId="26CE4B33" w:rsidR="00175A72" w:rsidRDefault="00175A72" w:rsidP="00AD11D6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In situations where a course equivalency is not listed on ISP 37</w:t>
      </w:r>
      <w:r w:rsidR="003C46BA">
        <w:rPr>
          <w:rFonts w:ascii="Arial" w:hAnsi="Arial" w:cs="Arial"/>
        </w:rPr>
        <w:t>1</w:t>
      </w:r>
      <w:r>
        <w:rPr>
          <w:rFonts w:ascii="Arial" w:hAnsi="Arial" w:cs="Arial"/>
        </w:rPr>
        <w:t>A, Graduation Services will contact the instructional department</w:t>
      </w:r>
      <w:r w:rsidR="0027375C">
        <w:rPr>
          <w:rFonts w:ascii="Arial" w:hAnsi="Arial" w:cs="Arial"/>
        </w:rPr>
        <w:t>. In such situations s</w:t>
      </w:r>
      <w:r>
        <w:rPr>
          <w:rFonts w:ascii="Arial" w:hAnsi="Arial" w:cs="Arial"/>
        </w:rPr>
        <w:t>tate guidelines</w:t>
      </w:r>
      <w:r w:rsidR="0027375C">
        <w:rPr>
          <w:rFonts w:ascii="Arial" w:hAnsi="Arial" w:cs="Arial"/>
        </w:rPr>
        <w:t xml:space="preserve"> must also be followed.</w:t>
      </w:r>
    </w:p>
    <w:p w14:paraId="4A9C4CD2" w14:textId="337E246F" w:rsidR="00323D21" w:rsidRPr="00323D21" w:rsidRDefault="00323D21" w:rsidP="004E1B90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5"/>
        <w:gridCol w:w="2934"/>
        <w:gridCol w:w="3131"/>
      </w:tblGrid>
      <w:tr w:rsidR="00DD691C" w:rsidRPr="007D1FDC" w14:paraId="74EF2FD6" w14:textId="77777777" w:rsidTr="00804142">
        <w:trPr>
          <w:jc w:val="center"/>
        </w:trPr>
        <w:tc>
          <w:tcPr>
            <w:tcW w:w="3285" w:type="dxa"/>
            <w:vAlign w:val="center"/>
          </w:tcPr>
          <w:p w14:paraId="2F460CDB" w14:textId="5A1B2D29" w:rsidR="00DD691C" w:rsidRPr="007D1FDC" w:rsidRDefault="0080414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34" w:type="dxa"/>
          </w:tcPr>
          <w:p w14:paraId="2D67F44B" w14:textId="5FA052B6" w:rsidR="00DD691C" w:rsidRPr="007D1FDC" w:rsidRDefault="0080414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31" w:type="dxa"/>
            <w:vAlign w:val="center"/>
          </w:tcPr>
          <w:p w14:paraId="0813A6B5" w14:textId="5363537B" w:rsidR="00DD691C" w:rsidRPr="007D1FDC" w:rsidRDefault="00B47831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09</w:t>
            </w:r>
            <w:r w:rsidR="00804142">
              <w:rPr>
                <w:rFonts w:ascii="Arial" w:hAnsi="Arial" w:cs="Arial"/>
                <w:sz w:val="20"/>
                <w:szCs w:val="20"/>
              </w:rPr>
              <w:t>, 2018</w:t>
            </w:r>
          </w:p>
        </w:tc>
      </w:tr>
      <w:tr w:rsidR="00804142" w:rsidRPr="007D1FDC" w14:paraId="0118B6FA" w14:textId="77777777" w:rsidTr="00804142">
        <w:trPr>
          <w:jc w:val="center"/>
        </w:trPr>
        <w:tc>
          <w:tcPr>
            <w:tcW w:w="3285" w:type="dxa"/>
            <w:vAlign w:val="center"/>
          </w:tcPr>
          <w:p w14:paraId="359143F0" w14:textId="3F40117A" w:rsidR="00804142" w:rsidRPr="007D1FDC" w:rsidRDefault="00804142" w:rsidP="00804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34" w:type="dxa"/>
          </w:tcPr>
          <w:p w14:paraId="535558E3" w14:textId="17EB413A" w:rsidR="00804142" w:rsidRPr="007D1FDC" w:rsidRDefault="00804142" w:rsidP="00804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procedure/format</w:t>
            </w:r>
          </w:p>
        </w:tc>
        <w:tc>
          <w:tcPr>
            <w:tcW w:w="3131" w:type="dxa"/>
            <w:vAlign w:val="center"/>
          </w:tcPr>
          <w:p w14:paraId="20E80BC8" w14:textId="3732019F" w:rsidR="00804142" w:rsidRPr="007D1FDC" w:rsidRDefault="00804142" w:rsidP="00804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E39"/>
    <w:multiLevelType w:val="hybridMultilevel"/>
    <w:tmpl w:val="04880DC8"/>
    <w:lvl w:ilvl="0" w:tplc="C40800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852433"/>
    <w:multiLevelType w:val="hybridMultilevel"/>
    <w:tmpl w:val="B0A2BAE6"/>
    <w:lvl w:ilvl="0" w:tplc="B622AB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5A72"/>
    <w:rsid w:val="001766B3"/>
    <w:rsid w:val="002269A4"/>
    <w:rsid w:val="0027375C"/>
    <w:rsid w:val="002E3290"/>
    <w:rsid w:val="002F50D3"/>
    <w:rsid w:val="00323D21"/>
    <w:rsid w:val="00353B5A"/>
    <w:rsid w:val="00370C77"/>
    <w:rsid w:val="003805D6"/>
    <w:rsid w:val="00381156"/>
    <w:rsid w:val="003C46BA"/>
    <w:rsid w:val="003F0387"/>
    <w:rsid w:val="0042765B"/>
    <w:rsid w:val="00462638"/>
    <w:rsid w:val="004C1601"/>
    <w:rsid w:val="004C7705"/>
    <w:rsid w:val="004E1B90"/>
    <w:rsid w:val="006D78CC"/>
    <w:rsid w:val="007D1FDC"/>
    <w:rsid w:val="00804142"/>
    <w:rsid w:val="008F7509"/>
    <w:rsid w:val="009116DD"/>
    <w:rsid w:val="00995C20"/>
    <w:rsid w:val="009E3649"/>
    <w:rsid w:val="009F2B1D"/>
    <w:rsid w:val="00AC7462"/>
    <w:rsid w:val="00AD11D6"/>
    <w:rsid w:val="00B47831"/>
    <w:rsid w:val="00C04E94"/>
    <w:rsid w:val="00C61123"/>
    <w:rsid w:val="00CD0EFB"/>
    <w:rsid w:val="00D27D44"/>
    <w:rsid w:val="00D62C74"/>
    <w:rsid w:val="00D67430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3E0F5C2C-C54C-4F39-96A6-AA003567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2015-10-02T15:50:00Z</cp:lastPrinted>
  <dcterms:created xsi:type="dcterms:W3CDTF">2022-05-27T00:32:00Z</dcterms:created>
  <dcterms:modified xsi:type="dcterms:W3CDTF">2022-05-27T00:32:00Z</dcterms:modified>
</cp:coreProperties>
</file>